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E8E" w:rsidRDefault="00124E8E" w:rsidP="00530A2E">
      <w:pPr>
        <w:spacing w:after="0" w:line="240" w:lineRule="auto"/>
        <w:jc w:val="center"/>
        <w:rPr>
          <w:rFonts w:ascii="Sylfaen" w:eastAsia="Times New Roman" w:hAnsi="Sylfaen" w:cs="Arial"/>
          <w:b/>
          <w:sz w:val="24"/>
          <w:szCs w:val="24"/>
        </w:rPr>
      </w:pPr>
    </w:p>
    <w:p w:rsidR="00530A2E" w:rsidRPr="00530A2E" w:rsidRDefault="00530A2E" w:rsidP="00530A2E">
      <w:pPr>
        <w:spacing w:after="0" w:line="240" w:lineRule="auto"/>
        <w:jc w:val="center"/>
        <w:rPr>
          <w:rFonts w:ascii="Sylfaen" w:eastAsia="Times New Roman" w:hAnsi="Sylfaen" w:cs="Arial"/>
          <w:b/>
          <w:sz w:val="24"/>
          <w:szCs w:val="24"/>
        </w:rPr>
      </w:pPr>
      <w:r w:rsidRPr="00530A2E">
        <w:rPr>
          <w:rFonts w:ascii="Sylfaen" w:eastAsia="Times New Roman" w:hAnsi="Sylfaen" w:cs="Arial"/>
          <w:b/>
          <w:sz w:val="24"/>
          <w:szCs w:val="24"/>
        </w:rPr>
        <w:t>BCA 2018-20</w:t>
      </w:r>
      <w:r w:rsidR="005A50CC">
        <w:rPr>
          <w:rFonts w:ascii="Sylfaen" w:eastAsia="Times New Roman" w:hAnsi="Sylfaen" w:cs="Arial"/>
          <w:b/>
          <w:sz w:val="24"/>
          <w:szCs w:val="24"/>
        </w:rPr>
        <w:t>19</w:t>
      </w:r>
    </w:p>
    <w:p w:rsidR="002427B0" w:rsidRPr="002427B0" w:rsidRDefault="002427B0" w:rsidP="001E3EE1">
      <w:pPr>
        <w:spacing w:after="0" w:line="240" w:lineRule="auto"/>
        <w:rPr>
          <w:rFonts w:ascii="Sylfaen" w:eastAsia="Times New Roman" w:hAnsi="Sylfaen" w:cs="Arial"/>
          <w:b/>
          <w:sz w:val="24"/>
          <w:szCs w:val="24"/>
        </w:rPr>
      </w:pPr>
    </w:p>
    <w:p w:rsidR="00530A2E" w:rsidRDefault="00530A2E" w:rsidP="001E3EE1">
      <w:pPr>
        <w:spacing w:after="0" w:line="240" w:lineRule="auto"/>
        <w:jc w:val="center"/>
        <w:rPr>
          <w:rFonts w:ascii="Sylfaen" w:eastAsia="Times New Roman" w:hAnsi="Sylfaen" w:cs="Arial"/>
          <w:b/>
        </w:rPr>
      </w:pPr>
      <w:proofErr w:type="spellStart"/>
      <w:r w:rsidRPr="001E3EE1">
        <w:rPr>
          <w:rFonts w:ascii="Sylfaen" w:eastAsia="Times New Roman" w:hAnsi="Sylfaen" w:cs="Arial"/>
          <w:b/>
        </w:rPr>
        <w:t>Programme</w:t>
      </w:r>
      <w:proofErr w:type="spellEnd"/>
      <w:r w:rsidRPr="001E3EE1">
        <w:rPr>
          <w:rFonts w:ascii="Sylfaen" w:eastAsia="Times New Roman" w:hAnsi="Sylfaen" w:cs="Arial"/>
          <w:b/>
        </w:rPr>
        <w:t xml:space="preserve"> Area - E2.</w:t>
      </w:r>
      <w:r w:rsidR="001E3EE1">
        <w:rPr>
          <w:rFonts w:ascii="Sylfaen" w:eastAsia="Times New Roman" w:hAnsi="Sylfaen" w:cs="Arial"/>
          <w:b/>
        </w:rPr>
        <w:t xml:space="preserve"> </w:t>
      </w:r>
      <w:r w:rsidRPr="001E3EE1">
        <w:rPr>
          <w:rFonts w:ascii="Sylfaen" w:eastAsia="Times New Roman" w:hAnsi="Sylfaen" w:cs="Arial"/>
          <w:b/>
        </w:rPr>
        <w:t xml:space="preserve">Country Health Emergency </w:t>
      </w:r>
      <w:r w:rsidR="001503BB" w:rsidRPr="001E3EE1">
        <w:rPr>
          <w:rFonts w:ascii="Sylfaen" w:eastAsia="Times New Roman" w:hAnsi="Sylfaen" w:cs="Arial"/>
          <w:b/>
        </w:rPr>
        <w:t>Preparedness</w:t>
      </w:r>
      <w:r w:rsidR="002427B0" w:rsidRPr="001E3EE1">
        <w:rPr>
          <w:rFonts w:ascii="Sylfaen" w:eastAsia="Times New Roman" w:hAnsi="Sylfaen" w:cs="Arial"/>
          <w:b/>
        </w:rPr>
        <w:t xml:space="preserve"> and International Health </w:t>
      </w:r>
      <w:r w:rsidRPr="001E3EE1">
        <w:rPr>
          <w:rFonts w:ascii="Sylfaen" w:eastAsia="Times New Roman" w:hAnsi="Sylfaen" w:cs="Arial"/>
          <w:b/>
        </w:rPr>
        <w:t>Regulations</w:t>
      </w:r>
    </w:p>
    <w:p w:rsidR="00D54DCC" w:rsidRDefault="00D54DCC" w:rsidP="001E3EE1">
      <w:pPr>
        <w:spacing w:after="0" w:line="240" w:lineRule="auto"/>
        <w:jc w:val="center"/>
        <w:rPr>
          <w:rFonts w:ascii="Sylfaen" w:eastAsia="Times New Roman" w:hAnsi="Sylfaen" w:cs="Arial"/>
          <w:b/>
        </w:rPr>
      </w:pPr>
    </w:p>
    <w:p w:rsidR="00D54DCC" w:rsidRDefault="00D54DCC" w:rsidP="001E3EE1">
      <w:pPr>
        <w:spacing w:after="0" w:line="240" w:lineRule="auto"/>
        <w:jc w:val="center"/>
        <w:rPr>
          <w:rFonts w:ascii="Sylfaen" w:eastAsia="Times New Roman" w:hAnsi="Sylfaen" w:cs="Arial"/>
          <w:b/>
        </w:rPr>
      </w:pPr>
    </w:p>
    <w:tbl>
      <w:tblPr>
        <w:tblStyle w:val="TableGrid"/>
        <w:tblW w:w="9535" w:type="dxa"/>
        <w:jc w:val="center"/>
        <w:tblLook w:val="04A0" w:firstRow="1" w:lastRow="0" w:firstColumn="1" w:lastColumn="0" w:noHBand="0" w:noVBand="1"/>
      </w:tblPr>
      <w:tblGrid>
        <w:gridCol w:w="5125"/>
        <w:gridCol w:w="4410"/>
      </w:tblGrid>
      <w:tr w:rsidR="001E412E" w:rsidRPr="00D54DCC" w:rsidTr="001E412E">
        <w:trPr>
          <w:jc w:val="center"/>
        </w:trPr>
        <w:tc>
          <w:tcPr>
            <w:tcW w:w="5125" w:type="dxa"/>
          </w:tcPr>
          <w:p w:rsidR="001E412E" w:rsidRPr="00D54DCC" w:rsidRDefault="001E412E" w:rsidP="001E3EE1">
            <w:pPr>
              <w:jc w:val="center"/>
              <w:rPr>
                <w:rFonts w:ascii="Sylfaen" w:eastAsia="Times New Roman" w:hAnsi="Sylfaen" w:cs="Arial"/>
                <w:b/>
                <w:sz w:val="20"/>
                <w:szCs w:val="20"/>
              </w:rPr>
            </w:pPr>
            <w:r w:rsidRPr="00D54DCC">
              <w:rPr>
                <w:rFonts w:ascii="Sylfaen" w:eastAsia="Times New Roman" w:hAnsi="Sylfaen" w:cs="Arial"/>
                <w:b/>
                <w:sz w:val="20"/>
                <w:szCs w:val="20"/>
              </w:rPr>
              <w:t>PB deliverable text</w:t>
            </w:r>
          </w:p>
        </w:tc>
        <w:tc>
          <w:tcPr>
            <w:tcW w:w="4410" w:type="dxa"/>
          </w:tcPr>
          <w:p w:rsidR="001E412E" w:rsidRPr="00D54DCC" w:rsidRDefault="001E412E" w:rsidP="001E3EE1">
            <w:pPr>
              <w:jc w:val="center"/>
              <w:rPr>
                <w:rFonts w:ascii="Sylfaen" w:eastAsia="Times New Roman" w:hAnsi="Sylfaen" w:cs="Arial"/>
                <w:b/>
                <w:sz w:val="20"/>
                <w:szCs w:val="20"/>
              </w:rPr>
            </w:pPr>
            <w:r>
              <w:rPr>
                <w:rFonts w:ascii="Sylfaen" w:eastAsia="Times New Roman" w:hAnsi="Sylfaen" w:cs="Arial"/>
                <w:b/>
                <w:sz w:val="20"/>
                <w:szCs w:val="20"/>
              </w:rPr>
              <w:t xml:space="preserve">Main directions for collaboration proposed by the </w:t>
            </w:r>
            <w:proofErr w:type="spellStart"/>
            <w:r>
              <w:rPr>
                <w:rFonts w:ascii="Sylfaen" w:eastAsia="Times New Roman" w:hAnsi="Sylfaen" w:cs="Arial"/>
                <w:b/>
                <w:sz w:val="20"/>
                <w:szCs w:val="20"/>
              </w:rPr>
              <w:t>MoLHSA</w:t>
            </w:r>
            <w:proofErr w:type="spellEnd"/>
          </w:p>
        </w:tc>
      </w:tr>
      <w:tr w:rsidR="001E412E" w:rsidRPr="00D54DCC" w:rsidTr="001E412E">
        <w:trPr>
          <w:jc w:val="center"/>
        </w:trPr>
        <w:tc>
          <w:tcPr>
            <w:tcW w:w="5125" w:type="dxa"/>
          </w:tcPr>
          <w:p w:rsidR="001E412E" w:rsidRPr="00D54DCC" w:rsidRDefault="001E412E" w:rsidP="00124E8E">
            <w:pPr>
              <w:rPr>
                <w:rFonts w:ascii="Sylfaen" w:eastAsia="Times New Roman" w:hAnsi="Sylfaen" w:cs="Arial"/>
                <w:b/>
                <w:sz w:val="20"/>
                <w:szCs w:val="20"/>
              </w:rPr>
            </w:pPr>
            <w:r w:rsidRPr="00D54DCC">
              <w:rPr>
                <w:rFonts w:ascii="Sylfaen" w:hAnsi="Sylfaen"/>
                <w:b/>
                <w:sz w:val="20"/>
                <w:szCs w:val="20"/>
                <w:highlight w:val="yellow"/>
                <w:u w:val="single"/>
              </w:rPr>
              <w:t>E2103</w:t>
            </w:r>
            <w:r w:rsidRPr="00D54DCC">
              <w:rPr>
                <w:rFonts w:ascii="Sylfaen" w:hAnsi="Sylfaen"/>
                <w:b/>
                <w:sz w:val="20"/>
                <w:szCs w:val="20"/>
                <w:highlight w:val="yellow"/>
              </w:rPr>
              <w:t>.</w:t>
            </w:r>
            <w:r w:rsidRPr="00D54DCC">
              <w:rPr>
                <w:rFonts w:ascii="Sylfaen" w:hAnsi="Sylfaen"/>
                <w:sz w:val="20"/>
                <w:szCs w:val="20"/>
              </w:rPr>
              <w:t xml:space="preserve"> Coordinate and support the process of voluntary independent </w:t>
            </w:r>
            <w:proofErr w:type="spellStart"/>
            <w:r w:rsidRPr="00D54DCC">
              <w:rPr>
                <w:rFonts w:ascii="Sylfaen" w:hAnsi="Sylfaen"/>
                <w:sz w:val="20"/>
                <w:szCs w:val="20"/>
              </w:rPr>
              <w:t>multisectoral</w:t>
            </w:r>
            <w:proofErr w:type="spellEnd"/>
            <w:r w:rsidRPr="00D54DCC">
              <w:rPr>
                <w:rFonts w:ascii="Sylfaen" w:hAnsi="Sylfaen"/>
                <w:sz w:val="20"/>
                <w:szCs w:val="20"/>
              </w:rPr>
              <w:t xml:space="preserve"> evaluation of country core capacities and implementation of the International Health Regulations (2005). Develop and disseminate regular reports on the implementation of countries core capacities requirements under the International Health Regulations (2005) and the Sendai Framework for Disaster Risk Reduction 2015-2030. Support the development of </w:t>
            </w:r>
            <w:proofErr w:type="spellStart"/>
            <w:r w:rsidRPr="00D54DCC">
              <w:rPr>
                <w:rFonts w:ascii="Sylfaen" w:hAnsi="Sylfaen"/>
                <w:sz w:val="20"/>
                <w:szCs w:val="20"/>
              </w:rPr>
              <w:t>multisectoral</w:t>
            </w:r>
            <w:proofErr w:type="spellEnd"/>
            <w:r w:rsidRPr="00D54DCC">
              <w:rPr>
                <w:rFonts w:ascii="Sylfaen" w:hAnsi="Sylfaen"/>
                <w:sz w:val="20"/>
                <w:szCs w:val="20"/>
              </w:rPr>
              <w:t xml:space="preserve"> national action plans for managing risks of emergencies based on assessments of country capacities and support the matching of resources to fill critical core capacity gaps. Report on the implementation of national action plans.</w:t>
            </w:r>
          </w:p>
        </w:tc>
        <w:tc>
          <w:tcPr>
            <w:tcW w:w="4410" w:type="dxa"/>
          </w:tcPr>
          <w:p w:rsidR="001E412E" w:rsidRPr="001E412E" w:rsidRDefault="001E412E" w:rsidP="001E412E">
            <w:pPr>
              <w:rPr>
                <w:rFonts w:ascii="Sylfaen" w:hAnsi="Sylfaen"/>
                <w:sz w:val="20"/>
                <w:szCs w:val="20"/>
              </w:rPr>
            </w:pPr>
            <w:r w:rsidRPr="001E412E">
              <w:rPr>
                <w:rFonts w:ascii="Sylfaen" w:hAnsi="Sylfaen"/>
                <w:sz w:val="20"/>
                <w:szCs w:val="20"/>
              </w:rPr>
              <w:t>1.</w:t>
            </w:r>
            <w:r>
              <w:rPr>
                <w:rFonts w:ascii="Sylfaen" w:hAnsi="Sylfaen"/>
                <w:sz w:val="20"/>
                <w:szCs w:val="20"/>
              </w:rPr>
              <w:t xml:space="preserve"> </w:t>
            </w:r>
            <w:r w:rsidRPr="001E412E">
              <w:rPr>
                <w:rFonts w:ascii="Sylfaen" w:hAnsi="Sylfaen"/>
                <w:sz w:val="20"/>
                <w:szCs w:val="20"/>
              </w:rPr>
              <w:t xml:space="preserve">Coordinate and support the process of evaluation of country core capacities, under the Sendai Framework for Disaster Risk Reduction 2015-2030. </w:t>
            </w:r>
          </w:p>
          <w:p w:rsidR="001E412E" w:rsidRDefault="001E412E" w:rsidP="001F7BA9">
            <w:pPr>
              <w:rPr>
                <w:rFonts w:ascii="Sylfaen" w:hAnsi="Sylfaen"/>
                <w:sz w:val="20"/>
                <w:szCs w:val="20"/>
              </w:rPr>
            </w:pPr>
            <w:r w:rsidRPr="00D54DCC">
              <w:rPr>
                <w:rFonts w:ascii="Sylfaen" w:hAnsi="Sylfaen"/>
                <w:sz w:val="20"/>
                <w:szCs w:val="20"/>
              </w:rPr>
              <w:t>Support the</w:t>
            </w:r>
            <w:r>
              <w:rPr>
                <w:rFonts w:ascii="Sylfaen" w:hAnsi="Sylfaen"/>
                <w:sz w:val="20"/>
                <w:szCs w:val="20"/>
              </w:rPr>
              <w:t xml:space="preserve"> evaluation of medical facilities by the </w:t>
            </w:r>
            <w:r w:rsidRPr="001503BB">
              <w:rPr>
                <w:rFonts w:ascii="Sylfaen" w:hAnsi="Sylfaen"/>
                <w:sz w:val="20"/>
                <w:szCs w:val="20"/>
              </w:rPr>
              <w:t xml:space="preserve">tool </w:t>
            </w:r>
            <w:r>
              <w:rPr>
                <w:rFonts w:ascii="Sylfaen" w:hAnsi="Sylfaen"/>
                <w:sz w:val="20"/>
                <w:szCs w:val="20"/>
              </w:rPr>
              <w:t>“</w:t>
            </w:r>
            <w:r w:rsidRPr="001503BB">
              <w:rPr>
                <w:rFonts w:ascii="Sylfaen" w:hAnsi="Sylfaen"/>
                <w:b/>
                <w:i/>
                <w:sz w:val="20"/>
                <w:szCs w:val="20"/>
              </w:rPr>
              <w:t>Hospital Safety Index</w:t>
            </w:r>
            <w:r>
              <w:rPr>
                <w:rFonts w:ascii="Sylfaen" w:hAnsi="Sylfaen"/>
                <w:sz w:val="20"/>
                <w:szCs w:val="20"/>
              </w:rPr>
              <w:t xml:space="preserve"> “throughout the Country. </w:t>
            </w:r>
            <w:r w:rsidRPr="00D54DCC">
              <w:rPr>
                <w:rFonts w:ascii="Sylfaen" w:hAnsi="Sylfaen"/>
                <w:sz w:val="20"/>
                <w:szCs w:val="20"/>
              </w:rPr>
              <w:t xml:space="preserve"> </w:t>
            </w:r>
          </w:p>
          <w:p w:rsidR="001E412E" w:rsidRPr="001E412E" w:rsidRDefault="001E412E" w:rsidP="001E412E">
            <w:pPr>
              <w:rPr>
                <w:rFonts w:ascii="Sylfaen" w:eastAsia="Times New Roman" w:hAnsi="Sylfaen" w:cs="Arial"/>
                <w:b/>
                <w:sz w:val="20"/>
                <w:szCs w:val="20"/>
              </w:rPr>
            </w:pPr>
            <w:r>
              <w:rPr>
                <w:rFonts w:ascii="Sylfaen" w:eastAsia="Times New Roman" w:hAnsi="Sylfaen" w:cs="Arial"/>
                <w:sz w:val="20"/>
                <w:szCs w:val="20"/>
              </w:rPr>
              <w:t xml:space="preserve">2. </w:t>
            </w:r>
            <w:r w:rsidRPr="001E412E">
              <w:rPr>
                <w:rFonts w:ascii="Sylfaen" w:eastAsia="Times New Roman" w:hAnsi="Sylfaen" w:cs="Arial"/>
                <w:sz w:val="20"/>
                <w:szCs w:val="20"/>
              </w:rPr>
              <w:t>Participation in JEE (Joint External Evaluation) and developing national plan;</w:t>
            </w:r>
          </w:p>
        </w:tc>
      </w:tr>
      <w:tr w:rsidR="001E412E" w:rsidRPr="00D54DCC" w:rsidTr="001E412E">
        <w:trPr>
          <w:jc w:val="center"/>
        </w:trPr>
        <w:tc>
          <w:tcPr>
            <w:tcW w:w="5125" w:type="dxa"/>
          </w:tcPr>
          <w:p w:rsidR="001E412E" w:rsidRPr="00D54DCC" w:rsidRDefault="001E412E" w:rsidP="00124E8E">
            <w:pPr>
              <w:rPr>
                <w:rFonts w:ascii="Sylfaen" w:eastAsia="Times New Roman" w:hAnsi="Sylfaen" w:cs="Arial"/>
                <w:b/>
                <w:sz w:val="20"/>
                <w:szCs w:val="20"/>
              </w:rPr>
            </w:pPr>
            <w:r w:rsidRPr="00D54DCC">
              <w:rPr>
                <w:rFonts w:ascii="Sylfaen" w:eastAsia="Times New Roman" w:hAnsi="Sylfaen" w:cs="Arial"/>
                <w:b/>
                <w:sz w:val="20"/>
                <w:szCs w:val="20"/>
                <w:highlight w:val="yellow"/>
                <w:u w:val="single"/>
              </w:rPr>
              <w:t>E2202</w:t>
            </w:r>
            <w:r w:rsidRPr="00D54DCC">
              <w:rPr>
                <w:rFonts w:ascii="Sylfaen" w:eastAsia="Times New Roman" w:hAnsi="Sylfaen" w:cs="Arial"/>
                <w:sz w:val="20"/>
                <w:szCs w:val="20"/>
                <w:highlight w:val="yellow"/>
              </w:rPr>
              <w:t>.</w:t>
            </w:r>
            <w:r w:rsidRPr="00D54DCC">
              <w:rPr>
                <w:rFonts w:ascii="Sylfaen" w:eastAsia="Times New Roman" w:hAnsi="Sylfaen" w:cs="Arial"/>
                <w:b/>
                <w:sz w:val="20"/>
                <w:szCs w:val="20"/>
              </w:rPr>
              <w:t xml:space="preserve"> </w:t>
            </w:r>
            <w:r w:rsidRPr="00D54DCC">
              <w:rPr>
                <w:rFonts w:ascii="Sylfaen" w:eastAsia="Times New Roman" w:hAnsi="Sylfaen" w:cs="Arial"/>
                <w:sz w:val="20"/>
                <w:szCs w:val="20"/>
              </w:rPr>
              <w:t xml:space="preserve">provide technical support to priority countries for emergency preparedness including strengthening capacities for early detection of and timely and effective response to all-hazards health emergencies (such as national health emergency operation </w:t>
            </w:r>
            <w:proofErr w:type="spellStart"/>
            <w:r w:rsidRPr="00D54DCC">
              <w:rPr>
                <w:rFonts w:ascii="Sylfaen" w:eastAsia="Times New Roman" w:hAnsi="Sylfaen" w:cs="Arial"/>
                <w:sz w:val="20"/>
                <w:szCs w:val="20"/>
              </w:rPr>
              <w:t>centres</w:t>
            </w:r>
            <w:proofErr w:type="spellEnd"/>
            <w:r w:rsidRPr="00D54DCC">
              <w:rPr>
                <w:rFonts w:ascii="Sylfaen" w:eastAsia="Times New Roman" w:hAnsi="Sylfaen" w:cs="Arial"/>
                <w:sz w:val="20"/>
                <w:szCs w:val="20"/>
              </w:rPr>
              <w:t xml:space="preserve">, early warning and response, laboratories, points of entry, training). Support </w:t>
            </w:r>
            <w:proofErr w:type="spellStart"/>
            <w:r w:rsidRPr="00D54DCC">
              <w:rPr>
                <w:rFonts w:ascii="Sylfaen" w:eastAsia="Times New Roman" w:hAnsi="Sylfaen" w:cs="Arial"/>
                <w:sz w:val="20"/>
                <w:szCs w:val="20"/>
              </w:rPr>
              <w:t>multisectoral</w:t>
            </w:r>
            <w:proofErr w:type="spellEnd"/>
            <w:r w:rsidRPr="00D54DCC">
              <w:rPr>
                <w:rFonts w:ascii="Sylfaen" w:eastAsia="Times New Roman" w:hAnsi="Sylfaen" w:cs="Arial"/>
                <w:sz w:val="20"/>
                <w:szCs w:val="20"/>
              </w:rPr>
              <w:t xml:space="preserve"> international networks and collaboration to foster information – sharing and best practices for health emergencies and disaster risk management, including preparedness. Provide technical support to strengthen linkages/integration of all-hazards health emergency and disaster risk management.</w:t>
            </w:r>
          </w:p>
        </w:tc>
        <w:tc>
          <w:tcPr>
            <w:tcW w:w="4410" w:type="dxa"/>
          </w:tcPr>
          <w:p w:rsidR="001E412E" w:rsidRPr="001E412E" w:rsidRDefault="001E412E" w:rsidP="001E412E">
            <w:pPr>
              <w:rPr>
                <w:rFonts w:ascii="Sylfaen" w:eastAsia="Times New Roman" w:hAnsi="Sylfaen" w:cs="Arial"/>
                <w:sz w:val="20"/>
                <w:szCs w:val="20"/>
              </w:rPr>
            </w:pPr>
            <w:r w:rsidRPr="001E412E">
              <w:rPr>
                <w:rFonts w:ascii="Sylfaen" w:eastAsia="Times New Roman" w:hAnsi="Sylfaen" w:cs="Arial"/>
                <w:sz w:val="20"/>
                <w:szCs w:val="20"/>
              </w:rPr>
              <w:t>1.</w:t>
            </w:r>
            <w:r>
              <w:rPr>
                <w:rFonts w:ascii="Sylfaen" w:eastAsia="Times New Roman" w:hAnsi="Sylfaen" w:cs="Arial"/>
                <w:sz w:val="20"/>
                <w:szCs w:val="20"/>
              </w:rPr>
              <w:t xml:space="preserve"> </w:t>
            </w:r>
            <w:r w:rsidRPr="001E412E">
              <w:rPr>
                <w:rFonts w:ascii="Sylfaen" w:eastAsia="Times New Roman" w:hAnsi="Sylfaen" w:cs="Arial"/>
                <w:sz w:val="20"/>
                <w:szCs w:val="20"/>
              </w:rPr>
              <w:t xml:space="preserve">Strengthening capacities for response to health emergencies (including core capacities of health emergency operations centers and hospital sector as well). </w:t>
            </w:r>
          </w:p>
          <w:p w:rsidR="001E412E" w:rsidRDefault="00163047" w:rsidP="001503BB">
            <w:pPr>
              <w:rPr>
                <w:rFonts w:ascii="Sylfaen" w:eastAsia="Times New Roman" w:hAnsi="Sylfaen" w:cs="Arial"/>
                <w:sz w:val="20"/>
                <w:szCs w:val="20"/>
              </w:rPr>
            </w:pPr>
            <w:r>
              <w:rPr>
                <w:rFonts w:ascii="Sylfaen" w:eastAsia="Times New Roman" w:hAnsi="Sylfaen" w:cs="Arial"/>
                <w:sz w:val="20"/>
                <w:szCs w:val="20"/>
                <w:lang w:val="ka-GE"/>
              </w:rPr>
              <w:t xml:space="preserve">2. </w:t>
            </w:r>
            <w:r w:rsidR="001E412E" w:rsidRPr="00D54DCC">
              <w:rPr>
                <w:rFonts w:ascii="Sylfaen" w:eastAsia="Times New Roman" w:hAnsi="Sylfaen" w:cs="Arial"/>
                <w:sz w:val="20"/>
                <w:szCs w:val="20"/>
              </w:rPr>
              <w:t xml:space="preserve">Support international collaboration to foster information-sharing and best practices for health emergency and disaster risk management, including preparedness. </w:t>
            </w:r>
          </w:p>
          <w:p w:rsidR="001E412E" w:rsidRPr="001E412E" w:rsidRDefault="00163047" w:rsidP="001E412E">
            <w:pPr>
              <w:rPr>
                <w:rFonts w:ascii="Sylfaen" w:eastAsia="Times New Roman" w:hAnsi="Sylfaen" w:cs="Arial"/>
                <w:b/>
                <w:sz w:val="20"/>
                <w:szCs w:val="20"/>
              </w:rPr>
            </w:pPr>
            <w:r>
              <w:rPr>
                <w:rFonts w:ascii="Sylfaen" w:eastAsia="Times New Roman" w:hAnsi="Sylfaen" w:cs="Arial"/>
                <w:sz w:val="20"/>
                <w:szCs w:val="20"/>
                <w:lang w:val="ka-GE"/>
              </w:rPr>
              <w:t>3</w:t>
            </w:r>
            <w:r w:rsidR="001E412E">
              <w:rPr>
                <w:rFonts w:ascii="Sylfaen" w:eastAsia="Times New Roman" w:hAnsi="Sylfaen" w:cs="Arial"/>
                <w:sz w:val="20"/>
                <w:szCs w:val="20"/>
              </w:rPr>
              <w:t xml:space="preserve">. </w:t>
            </w:r>
            <w:r w:rsidR="001E412E" w:rsidRPr="001E412E">
              <w:rPr>
                <w:rFonts w:ascii="Sylfaen" w:eastAsia="Times New Roman" w:hAnsi="Sylfaen" w:cs="Arial"/>
                <w:sz w:val="20"/>
                <w:szCs w:val="20"/>
              </w:rPr>
              <w:t xml:space="preserve">IHR core capacity strengthening, including core capacities at Points of Entries (training, self-assessment </w:t>
            </w:r>
            <w:proofErr w:type="spellStart"/>
            <w:r w:rsidR="001E412E" w:rsidRPr="001E412E">
              <w:rPr>
                <w:rFonts w:ascii="Sylfaen" w:eastAsia="Times New Roman" w:hAnsi="Sylfaen" w:cs="Arial"/>
                <w:sz w:val="20"/>
                <w:szCs w:val="20"/>
              </w:rPr>
              <w:t>etc</w:t>
            </w:r>
            <w:proofErr w:type="spellEnd"/>
            <w:r w:rsidR="001E412E" w:rsidRPr="001E412E">
              <w:rPr>
                <w:rFonts w:ascii="Sylfaen" w:eastAsia="Times New Roman" w:hAnsi="Sylfaen" w:cs="Arial"/>
                <w:sz w:val="20"/>
                <w:szCs w:val="20"/>
              </w:rPr>
              <w:t>). </w:t>
            </w:r>
          </w:p>
        </w:tc>
      </w:tr>
      <w:tr w:rsidR="001E412E" w:rsidRPr="00D54DCC" w:rsidTr="001E412E">
        <w:trPr>
          <w:jc w:val="center"/>
        </w:trPr>
        <w:tc>
          <w:tcPr>
            <w:tcW w:w="5125" w:type="dxa"/>
          </w:tcPr>
          <w:p w:rsidR="001E412E" w:rsidRPr="00D54DCC" w:rsidRDefault="001E412E" w:rsidP="00D54DCC">
            <w:pPr>
              <w:rPr>
                <w:rFonts w:ascii="Sylfaen" w:eastAsia="Times New Roman" w:hAnsi="Sylfaen" w:cs="Arial"/>
                <w:b/>
                <w:sz w:val="20"/>
                <w:szCs w:val="20"/>
              </w:rPr>
            </w:pPr>
            <w:r w:rsidRPr="00D54DCC">
              <w:rPr>
                <w:rFonts w:ascii="Sylfaen" w:eastAsia="Times New Roman" w:hAnsi="Sylfaen" w:cs="Arial"/>
                <w:b/>
                <w:sz w:val="20"/>
                <w:szCs w:val="20"/>
                <w:highlight w:val="yellow"/>
                <w:u w:val="single"/>
              </w:rPr>
              <w:t>E2302</w:t>
            </w:r>
            <w:r w:rsidRPr="00D54DCC">
              <w:rPr>
                <w:rFonts w:ascii="Sylfaen" w:eastAsia="Times New Roman" w:hAnsi="Sylfaen" w:cs="Arial"/>
                <w:b/>
                <w:sz w:val="20"/>
                <w:szCs w:val="20"/>
                <w:u w:val="single"/>
              </w:rPr>
              <w:t xml:space="preserve"> </w:t>
            </w:r>
            <w:r w:rsidRPr="00D54DCC">
              <w:rPr>
                <w:rFonts w:ascii="Sylfaen" w:eastAsia="Times New Roman" w:hAnsi="Sylfaen" w:cs="Arial"/>
                <w:sz w:val="20"/>
                <w:szCs w:val="20"/>
              </w:rPr>
              <w:t>Support the implementation of actions to increase operational readiness in WHO, high-risk, vulnerable countries and partners.</w:t>
            </w:r>
          </w:p>
        </w:tc>
        <w:tc>
          <w:tcPr>
            <w:tcW w:w="4410" w:type="dxa"/>
          </w:tcPr>
          <w:p w:rsidR="001E412E" w:rsidRPr="001E412E" w:rsidRDefault="00163047" w:rsidP="001E412E">
            <w:pPr>
              <w:rPr>
                <w:rFonts w:ascii="Sylfaen" w:eastAsia="Times New Roman" w:hAnsi="Sylfaen" w:cs="Arial"/>
                <w:sz w:val="20"/>
                <w:szCs w:val="20"/>
              </w:rPr>
            </w:pPr>
            <w:r>
              <w:rPr>
                <w:rFonts w:ascii="Sylfaen" w:eastAsia="Times New Roman" w:hAnsi="Sylfaen" w:cs="Arial"/>
                <w:sz w:val="20"/>
                <w:szCs w:val="20"/>
                <w:lang w:val="ka-GE"/>
              </w:rPr>
              <w:t>1.</w:t>
            </w:r>
            <w:bookmarkStart w:id="0" w:name="_GoBack"/>
            <w:bookmarkEnd w:id="0"/>
            <w:r>
              <w:rPr>
                <w:rFonts w:ascii="Sylfaen" w:eastAsia="Times New Roman" w:hAnsi="Sylfaen" w:cs="Arial"/>
                <w:sz w:val="20"/>
                <w:szCs w:val="20"/>
                <w:lang w:val="ka-GE"/>
              </w:rPr>
              <w:t xml:space="preserve"> </w:t>
            </w:r>
            <w:r w:rsidR="001E412E" w:rsidRPr="001E412E">
              <w:rPr>
                <w:rFonts w:ascii="Sylfaen" w:eastAsia="Times New Roman" w:hAnsi="Sylfaen" w:cs="Arial"/>
                <w:sz w:val="20"/>
                <w:szCs w:val="20"/>
              </w:rPr>
              <w:t xml:space="preserve">Support the implementation of actions to increase operational readiness. </w:t>
            </w:r>
          </w:p>
          <w:p w:rsidR="001E412E" w:rsidRPr="00D54DCC" w:rsidRDefault="001E412E" w:rsidP="00D54DCC">
            <w:pPr>
              <w:rPr>
                <w:rFonts w:ascii="Sylfaen" w:eastAsia="Times New Roman" w:hAnsi="Sylfaen" w:cs="Arial"/>
                <w:b/>
                <w:sz w:val="20"/>
                <w:szCs w:val="20"/>
              </w:rPr>
            </w:pPr>
          </w:p>
        </w:tc>
      </w:tr>
      <w:tr w:rsidR="001E412E" w:rsidRPr="00D54DCC" w:rsidTr="001E412E">
        <w:trPr>
          <w:jc w:val="center"/>
        </w:trPr>
        <w:tc>
          <w:tcPr>
            <w:tcW w:w="5125" w:type="dxa"/>
          </w:tcPr>
          <w:p w:rsidR="001E412E" w:rsidRPr="00D54DCC" w:rsidRDefault="001E412E" w:rsidP="00D54DCC">
            <w:pPr>
              <w:rPr>
                <w:rFonts w:ascii="Sylfaen" w:eastAsia="Times New Roman" w:hAnsi="Sylfaen" w:cs="Arial"/>
                <w:sz w:val="20"/>
                <w:szCs w:val="20"/>
              </w:rPr>
            </w:pPr>
            <w:r w:rsidRPr="00D54DCC">
              <w:rPr>
                <w:rFonts w:ascii="Sylfaen" w:eastAsia="Times New Roman" w:hAnsi="Sylfaen" w:cs="Arial"/>
                <w:b/>
                <w:sz w:val="20"/>
                <w:szCs w:val="20"/>
                <w:highlight w:val="yellow"/>
                <w:u w:val="single"/>
              </w:rPr>
              <w:t>E2303</w:t>
            </w:r>
            <w:r w:rsidRPr="00D54DCC">
              <w:rPr>
                <w:rFonts w:ascii="Sylfaen" w:eastAsia="Times New Roman" w:hAnsi="Sylfaen" w:cs="Arial"/>
                <w:b/>
                <w:sz w:val="20"/>
                <w:szCs w:val="20"/>
                <w:highlight w:val="yellow"/>
              </w:rPr>
              <w:t>.</w:t>
            </w:r>
            <w:r w:rsidRPr="00D54DCC">
              <w:rPr>
                <w:rFonts w:ascii="Sylfaen" w:eastAsia="Times New Roman" w:hAnsi="Sylfaen" w:cs="Arial"/>
                <w:sz w:val="20"/>
                <w:szCs w:val="20"/>
              </w:rPr>
              <w:t xml:space="preserve"> Conduct simulation exercises to test the readiness to test the readiness of WHO and partners.</w:t>
            </w:r>
          </w:p>
          <w:p w:rsidR="001E412E" w:rsidRPr="00D54DCC" w:rsidRDefault="001E412E" w:rsidP="00D54DCC">
            <w:pPr>
              <w:rPr>
                <w:rFonts w:ascii="Sylfaen" w:eastAsia="Times New Roman" w:hAnsi="Sylfaen" w:cs="Arial"/>
                <w:b/>
                <w:sz w:val="20"/>
                <w:szCs w:val="20"/>
                <w:highlight w:val="yellow"/>
                <w:u w:val="single"/>
              </w:rPr>
            </w:pPr>
          </w:p>
        </w:tc>
        <w:tc>
          <w:tcPr>
            <w:tcW w:w="4410" w:type="dxa"/>
          </w:tcPr>
          <w:p w:rsidR="001E412E" w:rsidRPr="001E412E" w:rsidRDefault="001E412E" w:rsidP="001E412E">
            <w:pPr>
              <w:rPr>
                <w:rFonts w:ascii="Sylfaen" w:eastAsia="Times New Roman" w:hAnsi="Sylfaen" w:cs="Arial"/>
                <w:sz w:val="20"/>
                <w:szCs w:val="20"/>
              </w:rPr>
            </w:pPr>
            <w:r w:rsidRPr="001E412E">
              <w:rPr>
                <w:rFonts w:ascii="Sylfaen" w:eastAsia="Times New Roman" w:hAnsi="Sylfaen" w:cs="Arial"/>
                <w:sz w:val="20"/>
                <w:szCs w:val="20"/>
              </w:rPr>
              <w:t>1.</w:t>
            </w:r>
            <w:r>
              <w:rPr>
                <w:rFonts w:ascii="Sylfaen" w:eastAsia="Times New Roman" w:hAnsi="Sylfaen" w:cs="Arial"/>
                <w:sz w:val="20"/>
                <w:szCs w:val="20"/>
              </w:rPr>
              <w:t xml:space="preserve"> </w:t>
            </w:r>
            <w:r w:rsidRPr="001E412E">
              <w:rPr>
                <w:rFonts w:ascii="Sylfaen" w:eastAsia="Times New Roman" w:hAnsi="Sylfaen" w:cs="Arial"/>
                <w:sz w:val="20"/>
                <w:szCs w:val="20"/>
              </w:rPr>
              <w:t>Conduct simulation exercises to test the readiness.</w:t>
            </w:r>
          </w:p>
          <w:p w:rsidR="001E412E" w:rsidRPr="001E412E" w:rsidRDefault="001E412E" w:rsidP="001E412E">
            <w:pPr>
              <w:rPr>
                <w:rFonts w:ascii="Sylfaen" w:eastAsia="Times New Roman" w:hAnsi="Sylfaen" w:cs="Arial"/>
                <w:sz w:val="20"/>
                <w:szCs w:val="20"/>
              </w:rPr>
            </w:pPr>
            <w:r>
              <w:rPr>
                <w:rFonts w:ascii="Sylfaen" w:eastAsia="Times New Roman" w:hAnsi="Sylfaen" w:cs="Arial"/>
                <w:sz w:val="20"/>
                <w:szCs w:val="20"/>
              </w:rPr>
              <w:t xml:space="preserve">2. </w:t>
            </w:r>
            <w:r w:rsidRPr="001E412E">
              <w:rPr>
                <w:rFonts w:ascii="Sylfaen" w:eastAsia="Times New Roman" w:hAnsi="Sylfaen" w:cs="Arial"/>
                <w:sz w:val="20"/>
                <w:szCs w:val="20"/>
              </w:rPr>
              <w:t>Simulation Exercise to strengthen preparednes</w:t>
            </w:r>
            <w:r>
              <w:rPr>
                <w:rFonts w:ascii="Sylfaen" w:eastAsia="Times New Roman" w:hAnsi="Sylfaen" w:cs="Arial"/>
                <w:sz w:val="20"/>
                <w:szCs w:val="20"/>
              </w:rPr>
              <w:t>s for public health emergencies.</w:t>
            </w:r>
          </w:p>
        </w:tc>
      </w:tr>
    </w:tbl>
    <w:p w:rsidR="00D54DCC" w:rsidRPr="001E3EE1" w:rsidRDefault="00D54DCC" w:rsidP="001E3EE1">
      <w:pPr>
        <w:spacing w:after="0" w:line="240" w:lineRule="auto"/>
        <w:jc w:val="center"/>
        <w:rPr>
          <w:rFonts w:ascii="Sylfaen" w:eastAsia="Times New Roman" w:hAnsi="Sylfaen" w:cs="Arial"/>
          <w:b/>
        </w:rPr>
      </w:pPr>
    </w:p>
    <w:p w:rsidR="00530A2E" w:rsidRPr="002E7583" w:rsidRDefault="00530A2E" w:rsidP="002427B0">
      <w:pPr>
        <w:spacing w:after="0" w:line="240" w:lineRule="auto"/>
        <w:jc w:val="both"/>
        <w:rPr>
          <w:rFonts w:ascii="Sylfaen" w:eastAsia="Times New Roman" w:hAnsi="Sylfaen" w:cs="Times New Roman"/>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1E3EE1" w:rsidRPr="001E3EE1" w:rsidRDefault="001E3EE1" w:rsidP="001E3EE1">
      <w:pPr>
        <w:spacing w:after="0" w:line="240" w:lineRule="auto"/>
        <w:jc w:val="both"/>
        <w:rPr>
          <w:rFonts w:ascii="Sylfaen" w:hAnsi="Sylfaen"/>
          <w:b/>
          <w:sz w:val="24"/>
          <w:szCs w:val="24"/>
          <w:u w:val="single"/>
        </w:rPr>
      </w:pPr>
    </w:p>
    <w:sectPr w:rsidR="001E3EE1" w:rsidRPr="001E3EE1" w:rsidSect="001E412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5621B"/>
    <w:multiLevelType w:val="hybridMultilevel"/>
    <w:tmpl w:val="A030F4A6"/>
    <w:lvl w:ilvl="0" w:tplc="B99C0950">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53ECA"/>
    <w:multiLevelType w:val="hybridMultilevel"/>
    <w:tmpl w:val="2E443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2468D"/>
    <w:multiLevelType w:val="hybridMultilevel"/>
    <w:tmpl w:val="0B2E3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75380"/>
    <w:multiLevelType w:val="hybridMultilevel"/>
    <w:tmpl w:val="C2CCC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191EC8"/>
    <w:multiLevelType w:val="hybridMultilevel"/>
    <w:tmpl w:val="C3481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6A342E"/>
    <w:multiLevelType w:val="hybridMultilevel"/>
    <w:tmpl w:val="56ECE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61B27"/>
    <w:multiLevelType w:val="hybridMultilevel"/>
    <w:tmpl w:val="54B28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7E0871"/>
    <w:multiLevelType w:val="hybridMultilevel"/>
    <w:tmpl w:val="D91A6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E1047A"/>
    <w:multiLevelType w:val="hybridMultilevel"/>
    <w:tmpl w:val="38CE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C37AA3"/>
    <w:multiLevelType w:val="hybridMultilevel"/>
    <w:tmpl w:val="DACC5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8"/>
  </w:num>
  <w:num w:numId="5">
    <w:abstractNumId w:val="7"/>
  </w:num>
  <w:num w:numId="6">
    <w:abstractNumId w:val="4"/>
  </w:num>
  <w:num w:numId="7">
    <w:abstractNumId w:val="2"/>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83"/>
    <w:rsid w:val="00036958"/>
    <w:rsid w:val="00124E8E"/>
    <w:rsid w:val="00135D65"/>
    <w:rsid w:val="001503BB"/>
    <w:rsid w:val="00163047"/>
    <w:rsid w:val="001E3EE1"/>
    <w:rsid w:val="001E412E"/>
    <w:rsid w:val="001F7BA9"/>
    <w:rsid w:val="002427B0"/>
    <w:rsid w:val="002B2866"/>
    <w:rsid w:val="002E7583"/>
    <w:rsid w:val="00457EB8"/>
    <w:rsid w:val="00530A2E"/>
    <w:rsid w:val="005A50CC"/>
    <w:rsid w:val="00797F8D"/>
    <w:rsid w:val="00BA5F04"/>
    <w:rsid w:val="00BB6D53"/>
    <w:rsid w:val="00D5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AC146"/>
  <w15:docId w15:val="{476CF513-0332-4AB1-A4DB-DDF90527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D65"/>
    <w:pPr>
      <w:ind w:left="720"/>
      <w:contextualSpacing/>
    </w:pPr>
  </w:style>
  <w:style w:type="paragraph" w:styleId="NoSpacing">
    <w:name w:val="No Spacing"/>
    <w:uiPriority w:val="1"/>
    <w:qFormat/>
    <w:rsid w:val="002427B0"/>
    <w:pPr>
      <w:spacing w:after="0" w:line="240" w:lineRule="auto"/>
    </w:pPr>
  </w:style>
  <w:style w:type="table" w:styleId="TableGrid">
    <w:name w:val="Table Grid"/>
    <w:basedOn w:val="TableNormal"/>
    <w:uiPriority w:val="39"/>
    <w:rsid w:val="00D5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B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3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Maia Nikoleishvili</dc:creator>
  <cp:lastModifiedBy>Maia Nikoleishvili</cp:lastModifiedBy>
  <cp:revision>2</cp:revision>
  <cp:lastPrinted>2018-02-28T12:23:00Z</cp:lastPrinted>
  <dcterms:created xsi:type="dcterms:W3CDTF">2018-02-28T12:50:00Z</dcterms:created>
  <dcterms:modified xsi:type="dcterms:W3CDTF">2018-02-28T12:50:00Z</dcterms:modified>
</cp:coreProperties>
</file>